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561" w:rsidRDefault="00E77561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4B1D592" wp14:editId="2FD12060">
            <wp:extent cx="690880" cy="741045"/>
            <wp:effectExtent l="0" t="0" r="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EA" w:rsidRPr="00D003EA" w:rsidRDefault="00D003EA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03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E62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r w:rsidRPr="00D003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:rsidR="00D003EA" w:rsidRPr="00D003EA" w:rsidRDefault="00D003EA" w:rsidP="00D003EA">
      <w:pPr>
        <w:tabs>
          <w:tab w:val="left" w:pos="31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003EA" w:rsidRPr="00E77561" w:rsidRDefault="00D003EA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756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E623D4" w:rsidRPr="00E77561" w:rsidRDefault="00E623D4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623D4" w:rsidRPr="00D003EA" w:rsidRDefault="00E623D4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003EA" w:rsidRPr="00E77561" w:rsidRDefault="00E77561" w:rsidP="00D003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от 08.11.2017</w:t>
      </w:r>
      <w:r w:rsidR="00D003EA" w:rsidRPr="00E77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0A78B0" w:rsidRPr="00E77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D003EA" w:rsidRPr="00E77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0A78B0" w:rsidRPr="00E77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proofErr w:type="gramStart"/>
      <w:r w:rsidR="000A78B0" w:rsidRPr="00E77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120</w:t>
      </w:r>
      <w:proofErr w:type="gramEnd"/>
    </w:p>
    <w:p w:rsidR="00E623D4" w:rsidRPr="00E77561" w:rsidRDefault="00E623D4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3EA" w:rsidRPr="005F6C41" w:rsidRDefault="00E623D4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41"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Упорный</w:t>
      </w:r>
    </w:p>
    <w:p w:rsidR="00D003EA" w:rsidRPr="00D003EA" w:rsidRDefault="00D003EA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3EA" w:rsidRPr="00D003EA" w:rsidRDefault="00D003EA" w:rsidP="00E775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03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Порядка формирования и ведения реестра источников доходов </w:t>
      </w:r>
      <w:proofErr w:type="spellStart"/>
      <w:r w:rsidR="00E62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:rsidR="00D003EA" w:rsidRPr="00D003EA" w:rsidRDefault="00D003EA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03EA" w:rsidRPr="00D003EA" w:rsidRDefault="00D003EA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03EA" w:rsidRPr="00D003EA" w:rsidRDefault="00D003EA" w:rsidP="00D00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7561" w:rsidRDefault="00D003EA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3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2676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Pr="00D003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соответствии со статьей 47.1 Бюджетного кодекса Российской Федерации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 (далее – Общие требования), утвержденными постановлением Правительства Российской Федерации от 31 августа </w:t>
      </w:r>
      <w:r w:rsidRPr="006D495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2016 года № 868 «</w:t>
      </w:r>
      <w:r w:rsidRPr="00D003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 порядке формирования и ведения перечня источников доходов Российской Федерации»</w:t>
      </w:r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D003EA" w:rsidRPr="00D003EA" w:rsidRDefault="00D003EA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о с </w:t>
      </w:r>
      <w:proofErr w:type="gramStart"/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ю:</w:t>
      </w:r>
    </w:p>
    <w:p w:rsidR="00D003EA" w:rsidRPr="00D003EA" w:rsidRDefault="00D003EA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1. </w:t>
      </w:r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D452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и ведения реестра источников </w:t>
      </w:r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</w:t>
      </w:r>
      <w:proofErr w:type="spellStart"/>
      <w:r w:rsidR="00E62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района(приложение). </w:t>
      </w:r>
    </w:p>
    <w:p w:rsidR="00D003EA" w:rsidRPr="00D003EA" w:rsidRDefault="00D452D2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</w:t>
      </w:r>
      <w:r w:rsidR="00D003EA"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D003EA" w:rsidRPr="00D003EA" w:rsidRDefault="00E623D4" w:rsidP="00D003EA">
      <w:pPr>
        <w:shd w:val="clear" w:color="auto" w:fill="FFFFFF"/>
        <w:tabs>
          <w:tab w:val="left" w:pos="709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           </w:t>
      </w:r>
      <w:r w:rsidR="00D452D2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3</w:t>
      </w:r>
      <w:r w:rsidR="00D003EA" w:rsidRPr="00D003EA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. Постановление </w:t>
      </w:r>
      <w:r w:rsidR="00D003EA" w:rsidRPr="00D003E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вступает в силу с 1 января 201</w:t>
      </w:r>
      <w:r w:rsidR="00B54AB7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8</w:t>
      </w:r>
      <w:r w:rsidR="00D003EA" w:rsidRPr="00D003E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года.</w:t>
      </w:r>
    </w:p>
    <w:p w:rsidR="00D003EA" w:rsidRPr="00D003EA" w:rsidRDefault="00D003EA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3EA" w:rsidRPr="00D003EA" w:rsidRDefault="00D003EA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3EA" w:rsidRPr="00D003EA" w:rsidRDefault="00D003EA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3EA" w:rsidRPr="00D003EA" w:rsidRDefault="00D003EA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E62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D003EA" w:rsidRDefault="00D003EA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</w:t>
      </w:r>
      <w:r w:rsidR="00E62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E77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spellStart"/>
      <w:r w:rsidR="00B54AB7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А.В.Браславец</w:t>
      </w:r>
      <w:proofErr w:type="spellEnd"/>
      <w:r w:rsidRPr="00D0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DD60C5" w:rsidRDefault="00DD60C5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0C5" w:rsidRDefault="00DD60C5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0C5" w:rsidRDefault="00DD60C5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0C5" w:rsidRDefault="00DD60C5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0C5" w:rsidRDefault="00DD60C5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0C5" w:rsidRDefault="00DD60C5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0C5" w:rsidRDefault="00DD60C5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0C5" w:rsidRDefault="00DD60C5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0C5" w:rsidRDefault="00DD60C5" w:rsidP="00D003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60C5" w:rsidRDefault="00DD60C5" w:rsidP="00DD60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D60C5" w:rsidRDefault="00DD60C5" w:rsidP="00DD60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D60C5" w:rsidRDefault="00DD60C5" w:rsidP="00DD60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D60C5" w:rsidRDefault="00DD60C5" w:rsidP="00DD60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</w:t>
      </w:r>
    </w:p>
    <w:p w:rsidR="00DD60C5" w:rsidRDefault="00DD60C5" w:rsidP="00DD60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08.11.2017 № 120</w:t>
      </w:r>
    </w:p>
    <w:p w:rsidR="00DD60C5" w:rsidRDefault="00DD60C5" w:rsidP="00DD6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DD60C5" w:rsidRDefault="00DD60C5" w:rsidP="00DD6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:rsidR="00DD60C5" w:rsidRDefault="00DD60C5" w:rsidP="00DD6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47.1 Бюджетного кодекса Российской Федерации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 (далее – Общие требования), утвержденными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определяет правила формирования и ведения реестра источников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(далее – реестр источников доходов бюджета).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Реестры источников доходов  бюджета представляют собой единый информационный ресурс, формируемый в структурированном виде в муниципальной информационной системе управления муниципальными финансами, путем заполнения электронных форм, разработанных и утвержденных финансовым управлением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в котором отражаются данные на этапах составления, утверждения и исполнения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 бюджете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источникам доходов бюджета муниципального образования и соответствующим им группам источников доходов бюджета муниципального образования, включенным в перечень источников доходов Российской Федерации.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Реестр источников доходов бюджета ведется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Реестр источников доходов бюджета, включая информацию, указанную в пункте 8 настоящего Порядка, ведутся на государственном языке Российской Федерации.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Реестр источников доходов бюджета, включая информацию, указанную в пункте 8 настоящего Порядка,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  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В целях ведения реестра источников доходов бюджета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главные администраторы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и (или) администраторы доходов бюджета, органы и организации, осуществляющие оказание (выполнение) государственных и муниципальных услуг (выполнение работ), предусматривающих за их оказание (выполнение) взимание платы по источнику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(в случае, если указанные органы и организации не осуществляют бюджетных полномочий администраторов доходов бюджета) (далее – участники процесса ведения реестров источников доходов бюджета), обеспечивают предоставление сведений, необходимых для ведения реестров источников доходов в электронной форме.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Электронное взаимодействие между органами и организациями в целях, предусмотренных абзацем первым настоящего пункта, организуется в порядке, установленном финансовым управлением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полноту и достоверность информации, а также своевременность ее включения в реестры источников доходов бюджета несут участники процесса ведения реестров источников доходов бюджета.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реестры источников доходов бюджета в отношении каждого источника доходов бюджета включается информация, указанная в пункте 11 Общих требований.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реестрах источников доходов бюджета формируется консолидированная и (или) сводная информация по группам источников доходов бюджета на этапах составления, утверждения и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а также кассовым поступлениям по доходам бюджета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с указанием сведений о группах источников доходов бюджета на основе перечня источников доходов Российской Федерации.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Информация, указанная в подпунктах «а» - «д» пункта 11 Общих требований, формируется и изменяется на основе перечня источников доходов Российской Федерации.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Информация, указанная в подпунктах «е» - «и» пункта 11 Общих требований, формируется и ведется на основании прогнозов поступления доходов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Информация, указанная в подпункте пункта 11 Общих требований, формируется на основании соответствующих сведений реестра источников доходов Российской Федерации, предоставляемых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Органы и организации, указанные в пункте 6 настоящего Порядка, обеспечивают предоставление органам, указанным в пункте 3 настоящего Порядка, информации, указанной в пункте 11 Общих требований, для формирования и ведения реестров источников доходов бюджета в следующие сроки: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информации, указанной в подпунктах «а» - «д», - незамедлительно, но не позднее одного рабочего дня со дня внесения указанной информации в </w:t>
      </w:r>
      <w:r>
        <w:rPr>
          <w:rFonts w:ascii="Times New Roman" w:hAnsi="Times New Roman"/>
          <w:sz w:val="28"/>
          <w:szCs w:val="28"/>
        </w:rPr>
        <w:lastRenderedPageBreak/>
        <w:t>перечень источников доходов Российской Федерации, реестр источников доходов Российской Федерации;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информации, указанной в подпунктах «ж», «з» и «л», - не позднее 5 рабочих дней со дня принятия или внесения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 бюджете муниципального образования и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об исполнении бюджета муниципального образования;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информации, указанной в подпункте «и», -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года;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информации, указанной в подпункте «е», в сроки, установленные нормативным правовым актом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района;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информации, указанной в подпункте «к», в соответствии с установленным бюджетным законодательством порядком составления и ведения кассового плана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но не позднее 10- 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рабочего дня каждого месяца года.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Органы, указанные в пункте 3 настоящего Порядка, в целях ведения реестров источников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течение одного рабочего дня со дня представления участником процесса ведения реестров источников доходов бюджета информации, указанной в пункте 11 общих требований, обеспечивают в автоматизированном режиме проверку наличия информации в соответствии с пунктом 11 Общих требований.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В случае положительного результата проверки, указанной в пункте 14 настоящего Порядка, информация, представленная участником процесса ведения реестра источников доходов бюджета, образует реестровую запись реестра источников доходов бюджета, которой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присваивает уникальный номер реестровой записи источника дохода бюджета сельского поселения.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участником процесса ведения реестров источников доходов измененной информации, указанной в пункте 11 Общих требований, ранее образованные реестровые записи обновляются.  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В случае отрицательного результата проверки, указанной в пункте 14 настоящего Порядка, информация, предоставленная участником процесса ведения реестров источников доходов в соответствии с пунктом 11 Общих требований, не образует (не обновляет) реестровой записи. В указанном случае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течение не более одного рабочего дня со дня предоставления участником процесса ведения реестров источников доходов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В случае получения предусмотренного пунктом 16 настоящего Порядка протокола участник процесса ведения реестров источников доходов бюджета в срок не более трех рабочих дней со дня получения протокола </w:t>
      </w:r>
      <w:r>
        <w:rPr>
          <w:rFonts w:ascii="Times New Roman" w:hAnsi="Times New Roman"/>
          <w:sz w:val="28"/>
          <w:szCs w:val="28"/>
        </w:rPr>
        <w:lastRenderedPageBreak/>
        <w:t>устраняет выявленные несоответствия и повторно представляет информацию для включения в реестр источников доходов бюджета.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Уникальный номер реестровой записи источника дохода бюджета реестра источников доходов формируется в соответствии с пунктом 22 Общих требований.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Реестры источников доходов бюджета направляются в составе документов и материалов, представляемых одновременно с проектом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 бюджете муниципального образования в Совет муниципального образования по форме, разрабатываемой и утверждаемой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 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Реестр источников доходов бюджета размещается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«Интернет», в формате открытых данных. 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</w:t>
      </w:r>
      <w:r w:rsidRPr="00DD60C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D60C5" w:rsidSect="00E7756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753"/>
        <w:gridCol w:w="564"/>
        <w:gridCol w:w="501"/>
        <w:gridCol w:w="519"/>
        <w:gridCol w:w="463"/>
        <w:gridCol w:w="526"/>
        <w:gridCol w:w="403"/>
        <w:gridCol w:w="494"/>
        <w:gridCol w:w="543"/>
        <w:gridCol w:w="3588"/>
        <w:gridCol w:w="1430"/>
        <w:gridCol w:w="797"/>
        <w:gridCol w:w="842"/>
        <w:gridCol w:w="696"/>
        <w:gridCol w:w="773"/>
      </w:tblGrid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№2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 района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08.11.2017  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Реестр источников доходов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"___" ____________ 20__ года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 орган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сельского поселения Павловского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Упорненское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сельское поселение Павловского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группы источников доходов бюджетов /наименование источника дохода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 классификации доходов бюджетов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доходов краевого бюджета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Показатели прогноза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доходов в 2017 году соответствии с решением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бюджете</w:t>
            </w:r>
            <w:proofErr w:type="gram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Показатели кассовых посту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плений в текущем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году(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01.11.2017 год)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исполнения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2017 году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Показатели прогноза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доходов бюджета на очередной финансовый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 год</w:t>
            </w:r>
            <w:proofErr w:type="gramEnd"/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доходов краевого бюджета</w:t>
            </w:r>
          </w:p>
        </w:tc>
        <w:tc>
          <w:tcPr>
            <w:tcW w:w="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доходов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 доходов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доходов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подстатья доходов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 доходов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подвида доходов бюджетов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группа подвида доходов бюджетов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2086,5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2310,2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Федеральная налоговая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служба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637,6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1282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4030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3552,2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4402,3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4275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Федеральное казначейство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366,3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400,3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-43,4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-43,4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653,1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547,6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653,1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623,3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Павловского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4706,2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4120,1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5075,7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4898,3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2933,6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2694,5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Субвенции бюджету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военскогоучета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военскогоучета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74,8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бюджету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от возврата остатков субсидий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Павловского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1,1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-35,6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-35,6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2977,3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2723,7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2973,7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78,6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7683,5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6843,8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8049,4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4976,9</w:t>
            </w: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 района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Браславец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(ФИО)</w:t>
            </w:r>
          </w:p>
        </w:tc>
        <w:tc>
          <w:tcPr>
            <w:tcW w:w="35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Исполнитель: Ведущий специалист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Ю.А.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3-61-00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0C5" w:rsidTr="00DD60C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(ФИО)</w:t>
            </w:r>
          </w:p>
        </w:tc>
        <w:tc>
          <w:tcPr>
            <w:tcW w:w="35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(телефон)</w:t>
            </w: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D60C5" w:rsidRDefault="00DD60C5" w:rsidP="00DD60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0C5" w:rsidRDefault="00DD60C5" w:rsidP="00DD60C5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0C5" w:rsidRPr="00D003EA" w:rsidRDefault="00DD60C5" w:rsidP="00DD60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3EA" w:rsidRPr="00D003EA" w:rsidRDefault="00D003EA" w:rsidP="00DD60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3EA" w:rsidRPr="00D003EA" w:rsidRDefault="00D003EA" w:rsidP="00DD60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3EA" w:rsidRPr="00D003EA" w:rsidRDefault="00D003EA" w:rsidP="00DD60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3EA" w:rsidRPr="00D003EA" w:rsidRDefault="00D003EA" w:rsidP="00DD60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7B7A" w:rsidRDefault="00467B7A" w:rsidP="00DD60C5">
      <w:pPr>
        <w:spacing w:after="0" w:line="240" w:lineRule="auto"/>
        <w:contextualSpacing/>
        <w:jc w:val="both"/>
      </w:pPr>
    </w:p>
    <w:sectPr w:rsidR="00467B7A" w:rsidSect="00DD60C5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1307E"/>
    <w:multiLevelType w:val="hybridMultilevel"/>
    <w:tmpl w:val="6830822C"/>
    <w:lvl w:ilvl="0" w:tplc="C5805F96">
      <w:start w:val="1"/>
      <w:numFmt w:val="decimal"/>
      <w:lvlText w:val="%1."/>
      <w:lvlJc w:val="left"/>
      <w:pPr>
        <w:ind w:left="12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3EA"/>
    <w:rsid w:val="000A78B0"/>
    <w:rsid w:val="00150898"/>
    <w:rsid w:val="00280DA0"/>
    <w:rsid w:val="00320152"/>
    <w:rsid w:val="00467B7A"/>
    <w:rsid w:val="005F6C41"/>
    <w:rsid w:val="006D495F"/>
    <w:rsid w:val="0092676F"/>
    <w:rsid w:val="00B54AB7"/>
    <w:rsid w:val="00D003EA"/>
    <w:rsid w:val="00D452D2"/>
    <w:rsid w:val="00DD60C5"/>
    <w:rsid w:val="00E623D4"/>
    <w:rsid w:val="00E77561"/>
    <w:rsid w:val="00F136A8"/>
    <w:rsid w:val="00F33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1D9A"/>
  <w15:docId w15:val="{6043AEA7-F130-495A-B1D6-ED8E3F97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Upor</cp:lastModifiedBy>
  <cp:revision>15</cp:revision>
  <cp:lastPrinted>2017-11-13T10:51:00Z</cp:lastPrinted>
  <dcterms:created xsi:type="dcterms:W3CDTF">2016-10-31T07:51:00Z</dcterms:created>
  <dcterms:modified xsi:type="dcterms:W3CDTF">2017-11-23T05:31:00Z</dcterms:modified>
</cp:coreProperties>
</file>